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p w:rsidR="00B138BB" w:rsidRDefault="00B138BB"/>
    <w:p w:rsidR="00B138BB" w:rsidRDefault="00B138BB" w:rsidP="00DB46FE"/>
    <w:p w:rsidR="00B138BB" w:rsidRDefault="00B138BB"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333E77" w:rsidRDefault="00333E77" w:rsidP="00DB46FE">
      <w:pPr>
        <w:pStyle w:val="Betreff"/>
        <w:spacing w:line="240" w:lineRule="exact"/>
      </w:pPr>
    </w:p>
    <w:p w:rsidR="00333E77" w:rsidRDefault="00333E77" w:rsidP="00DB46FE">
      <w:pPr>
        <w:pStyle w:val="Betreff"/>
        <w:spacing w:line="240" w:lineRule="exact"/>
      </w:pPr>
    </w:p>
    <w:p w:rsidR="00333E77" w:rsidRDefault="00333E77" w:rsidP="00DB46FE">
      <w:pPr>
        <w:pStyle w:val="Betreff"/>
        <w:spacing w:line="240" w:lineRule="exact"/>
      </w:pPr>
    </w:p>
    <w:p w:rsidR="00DC6597" w:rsidRPr="00A004AF" w:rsidRDefault="00DC6597" w:rsidP="00A004AF">
      <w:pPr>
        <w:pStyle w:val="Betreff"/>
        <w:spacing w:line="240" w:lineRule="exact"/>
        <w:jc w:val="center"/>
        <w:rPr>
          <w:rFonts w:cs="Arial"/>
        </w:rPr>
      </w:pPr>
    </w:p>
    <w:p w:rsidR="00DC6597" w:rsidRPr="00A004AF" w:rsidRDefault="00DC6597" w:rsidP="00A004AF">
      <w:pPr>
        <w:pStyle w:val="Betreff"/>
        <w:spacing w:line="240" w:lineRule="exact"/>
        <w:jc w:val="center"/>
        <w:rPr>
          <w:rFonts w:cs="Arial"/>
        </w:rPr>
      </w:pPr>
    </w:p>
    <w:p w:rsidR="00333E77" w:rsidRPr="00333E77" w:rsidRDefault="00333E77" w:rsidP="00333E77">
      <w:pPr>
        <w:spacing w:line="360" w:lineRule="exact"/>
        <w:jc w:val="center"/>
        <w:rPr>
          <w:rFonts w:ascii="Arial" w:hAnsi="Arial" w:cs="Arial"/>
          <w:sz w:val="24"/>
          <w:szCs w:val="24"/>
        </w:rPr>
      </w:pPr>
      <w:r w:rsidRPr="00333E77">
        <w:rPr>
          <w:rFonts w:ascii="Arial" w:hAnsi="Arial" w:cs="Arial"/>
          <w:b/>
          <w:sz w:val="24"/>
          <w:szCs w:val="24"/>
        </w:rPr>
        <w:t>Gesellschaft mit beschränkter Haftung (GmbH)</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 xml:space="preserve">Bei Kapitalgesellschaften ist die Eintragung der Gesellschaft in das Register </w:t>
      </w:r>
      <w:r w:rsidRPr="00333E77">
        <w:rPr>
          <w:rFonts w:ascii="Arial" w:hAnsi="Arial" w:cs="Arial"/>
          <w:sz w:val="24"/>
          <w:szCs w:val="24"/>
          <w:u w:val="single"/>
        </w:rPr>
        <w:t>konstitutiv</w:t>
      </w:r>
      <w:r w:rsidRPr="00333E77">
        <w:rPr>
          <w:rFonts w:ascii="Arial" w:hAnsi="Arial" w:cs="Arial"/>
          <w:sz w:val="24"/>
          <w:szCs w:val="24"/>
        </w:rPr>
        <w:t xml:space="preserve">, d. h. die GmbH entsteht erst dann, wenn die Registereintragung aufgrund Anmeldung vollzogen ist. </w:t>
      </w:r>
      <w:proofErr w:type="gramStart"/>
      <w:r w:rsidRPr="00333E77">
        <w:rPr>
          <w:rFonts w:ascii="Arial" w:hAnsi="Arial" w:cs="Arial"/>
          <w:sz w:val="24"/>
          <w:szCs w:val="24"/>
        </w:rPr>
        <w:t>Auch wenn der notarielle Gründungsvertrag bereits protokolliert ist, sollten daher Geschäfte im Namen der GmbH möglichst vor Eintragung nicht stattfinden (zum einen haftet der Handelnde hierfür - jedenfalls bis zur Eintragung - persönlich, zum anderen - und dies ist weit gefährlicher - haften die Gesellschafter auch nach der Eintragung noch für die Lücken im Stammkapital, die bei der Eintragung aufgrund solcher vorzeitigen Geschäfte zu verzeichnen sind).</w:t>
      </w:r>
      <w:proofErr w:type="gramEnd"/>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Bei der Gründung der GmbH sind anzumelden:</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numPr>
          <w:ilvl w:val="0"/>
          <w:numId w:val="9"/>
        </w:numPr>
        <w:spacing w:line="360" w:lineRule="exact"/>
        <w:jc w:val="left"/>
        <w:rPr>
          <w:rFonts w:ascii="Arial" w:hAnsi="Arial" w:cs="Arial"/>
          <w:sz w:val="24"/>
          <w:szCs w:val="24"/>
        </w:rPr>
      </w:pPr>
      <w:r w:rsidRPr="00333E77">
        <w:rPr>
          <w:rFonts w:ascii="Arial" w:hAnsi="Arial" w:cs="Arial"/>
          <w:sz w:val="24"/>
          <w:szCs w:val="24"/>
        </w:rPr>
        <w:t>die Firma (also der Name der GmbH, der als Sach- oder als Personalfirma oder als gemischte Firma gebildet sein kann, und den Zusatz „GmbH“ oder „Gesellschaft mbH“ aufweisen muss)</w:t>
      </w:r>
    </w:p>
    <w:p w:rsidR="00333E77" w:rsidRPr="00333E77" w:rsidRDefault="00333E77" w:rsidP="00333E77">
      <w:pPr>
        <w:numPr>
          <w:ilvl w:val="0"/>
          <w:numId w:val="9"/>
        </w:numPr>
        <w:spacing w:line="360" w:lineRule="exact"/>
        <w:jc w:val="left"/>
        <w:rPr>
          <w:rFonts w:ascii="Arial" w:hAnsi="Arial" w:cs="Arial"/>
          <w:sz w:val="24"/>
          <w:szCs w:val="24"/>
        </w:rPr>
      </w:pPr>
      <w:r w:rsidRPr="00333E77">
        <w:rPr>
          <w:rFonts w:ascii="Arial" w:hAnsi="Arial" w:cs="Arial"/>
          <w:sz w:val="24"/>
          <w:szCs w:val="24"/>
        </w:rPr>
        <w:t xml:space="preserve">der Sitz </w:t>
      </w:r>
    </w:p>
    <w:p w:rsidR="00333E77" w:rsidRPr="00333E77" w:rsidRDefault="00333E77" w:rsidP="00333E77">
      <w:pPr>
        <w:numPr>
          <w:ilvl w:val="0"/>
          <w:numId w:val="9"/>
        </w:numPr>
        <w:spacing w:line="360" w:lineRule="exact"/>
        <w:jc w:val="left"/>
        <w:rPr>
          <w:rFonts w:ascii="Arial" w:hAnsi="Arial" w:cs="Arial"/>
          <w:sz w:val="24"/>
          <w:szCs w:val="24"/>
        </w:rPr>
      </w:pPr>
      <w:r w:rsidRPr="00333E77">
        <w:rPr>
          <w:rFonts w:ascii="Arial" w:hAnsi="Arial" w:cs="Arial"/>
          <w:sz w:val="24"/>
          <w:szCs w:val="24"/>
        </w:rPr>
        <w:t>der Gegenstand des Unternehmens und</w:t>
      </w:r>
    </w:p>
    <w:p w:rsidR="00333E77" w:rsidRPr="00333E77" w:rsidRDefault="00333E77" w:rsidP="00333E77">
      <w:pPr>
        <w:numPr>
          <w:ilvl w:val="0"/>
          <w:numId w:val="9"/>
        </w:numPr>
        <w:spacing w:line="360" w:lineRule="exact"/>
        <w:jc w:val="left"/>
        <w:rPr>
          <w:rFonts w:ascii="Arial" w:hAnsi="Arial" w:cs="Arial"/>
          <w:sz w:val="24"/>
          <w:szCs w:val="24"/>
        </w:rPr>
      </w:pPr>
      <w:r w:rsidRPr="00333E77">
        <w:rPr>
          <w:rFonts w:ascii="Arial" w:hAnsi="Arial" w:cs="Arial"/>
          <w:sz w:val="24"/>
          <w:szCs w:val="24"/>
        </w:rPr>
        <w:t>das Stammkapital (in EURO, mindestens 25.000)</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proofErr w:type="gramStart"/>
      <w:r w:rsidRPr="00333E77">
        <w:rPr>
          <w:rFonts w:ascii="Arial" w:hAnsi="Arial" w:cs="Arial"/>
          <w:sz w:val="24"/>
          <w:szCs w:val="24"/>
        </w:rPr>
        <w:t xml:space="preserve">Anzumelden und einzutragen ist ferner die sog. „abstrakte Vertretungsregelung“ (also die Bestimmung, welche Varianten für die Vertretung im Außenverhältnis möglich sind - </w:t>
      </w:r>
      <w:r w:rsidRPr="00333E77">
        <w:rPr>
          <w:rFonts w:ascii="Arial" w:hAnsi="Arial" w:cs="Arial"/>
          <w:sz w:val="24"/>
          <w:szCs w:val="24"/>
        </w:rPr>
        <w:lastRenderedPageBreak/>
        <w:t>z. B.: Ist nur ein Geschäftsführer vorhanden, vertritt dieser stets allein, sind mehrere vorhanden, vertreten sie gemeinschaftlich, es sei denn, durch Gesellschafterbeschluss wird ihnen Einzelvertretungsbefugnis erteilt), ferner die Person (Name, Geburtsdatum, Wohnanschrift) und die konkrete Vertretungsregelung des bzw. der Geschäftsführer.</w:t>
      </w:r>
      <w:proofErr w:type="gramEnd"/>
      <w:r w:rsidRPr="00333E77">
        <w:rPr>
          <w:rFonts w:ascii="Arial" w:hAnsi="Arial" w:cs="Arial"/>
          <w:sz w:val="24"/>
          <w:szCs w:val="24"/>
        </w:rPr>
        <w:t xml:space="preserve"> Informatorisch - jedoch ohne Eintragung in das Handelsregister, allerdings üblicherweise zur Bekanntmachung in den Gesellschaftsblättern - ist die Geschäftsadresse der GmbH anzugeben. Nur für die Registerakten bestimmt sind schließlich Angaben über Personalien und Beteiligung der einzelnen Gesellschafter und die Höhe der von diesen bisher bereits geleisteten Einlagen sowie den Betrag des Gründungsaufwands, der aus dem Stammkapital bereits vor Eintragung entnommen werden kann und von der Gesellschaft getragen wird (Notargebühren, Registerkosten, Rechts- und Steuerberatungsaufwand). </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Das Registergericht prüft regelmäßig anhand von in Kopie einzureichenden Kontoauszügen, ob die Stammeinlagen tatsächlich wie angemeldet auf einem Konto der GmbH eingegangen sind. Ferner müssen die Geschäftsführer Unterschriftsproben hinterlegen und versichern, dass sie nicht gemäß §§ 283 bis 283d des Strafgesetzbuchs (betrügerischer Bankrott etc.) vorbestraft sind oder einem Berufsverbot unterliegen. Diese Anmeldungen müssen durch die Geschäftsführer stets persönlich vor einem deutschen Notar unterzeichnet werden.</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 xml:space="preserve">Handelt es sich im Ausnahmefall nicht um eine Bargründung, sondern um eine </w:t>
      </w:r>
      <w:r w:rsidRPr="00333E77">
        <w:rPr>
          <w:rFonts w:ascii="Arial" w:hAnsi="Arial" w:cs="Arial"/>
          <w:sz w:val="24"/>
          <w:szCs w:val="24"/>
          <w:u w:val="single"/>
        </w:rPr>
        <w:t>Sachgründung</w:t>
      </w:r>
      <w:r w:rsidRPr="00333E77">
        <w:rPr>
          <w:rFonts w:ascii="Arial" w:hAnsi="Arial" w:cs="Arial"/>
          <w:sz w:val="24"/>
          <w:szCs w:val="24"/>
        </w:rPr>
        <w:t>, bei der die Stammeinlage zumindest eines Gesellschafters durch Übertragung von Gegenständen an die Gesellschaft herbeigeführt wird, müssen ferner die zur Erfüllung der Einlageverpflichtung geschlossenen Verträge und Nachweise, aus denen sich die Werthaltigkeit der Sacheinlage ergibt, z. B. Einkaufsrechnungen, Sachverständigengutachten etc., beigebracht werden. Diese unterliegen zum Nachweis der vollständigen Kapitalaufbringung besonders strenger Kontrolle durch den Registerrichter. Die Kontrolle des Registergerichts beschränkt sich jedoch in jedem Fall auf den Zeitpunkt der Eintragung; ab diesem Moment steht das Kapital für Betriebszwecke zur Verfügung.</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 xml:space="preserve">Der volle Satzungswortlaut und eine Liste der Gesellschafter (mit Name, Anschrift, Geburtsdatum und Betrag der gezeichneten Stammeinlage) sind zur Verwahrung bei den </w:t>
      </w:r>
      <w:proofErr w:type="gramStart"/>
      <w:r w:rsidRPr="00333E77">
        <w:rPr>
          <w:rFonts w:ascii="Arial" w:hAnsi="Arial" w:cs="Arial"/>
          <w:sz w:val="24"/>
          <w:szCs w:val="24"/>
        </w:rPr>
        <w:lastRenderedPageBreak/>
        <w:t>sogenannten</w:t>
      </w:r>
      <w:proofErr w:type="gramEnd"/>
      <w:r w:rsidRPr="00333E77">
        <w:rPr>
          <w:rFonts w:ascii="Arial" w:hAnsi="Arial" w:cs="Arial"/>
          <w:sz w:val="24"/>
          <w:szCs w:val="24"/>
        </w:rPr>
        <w:t xml:space="preserve"> Registerakten zu hinterlegen; sie werden aber weder in das eigentliche Handelsregister eingetragen noch in den Bekanntmachungsblättern veröffentlicht. Die Einsicht in die Registerakten steht allerdings jedem Interessenten offen. </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iCs/>
          <w:sz w:val="24"/>
          <w:szCs w:val="24"/>
        </w:rPr>
      </w:pPr>
      <w:r w:rsidRPr="00333E77">
        <w:rPr>
          <w:rFonts w:ascii="Arial" w:hAnsi="Arial" w:cs="Arial"/>
          <w:sz w:val="24"/>
          <w:szCs w:val="24"/>
        </w:rPr>
        <w:t xml:space="preserve">Notariell zu beurkunden und sodann durch die Geschäftsführung in vertretungsberechtigter Zahl anzumelden und zumindest in der Bemerkungsspalte im Handelsregister auch zu vermerken sind alle künftigen </w:t>
      </w:r>
      <w:r w:rsidRPr="00333E77">
        <w:rPr>
          <w:rFonts w:ascii="Arial" w:hAnsi="Arial" w:cs="Arial"/>
          <w:b/>
          <w:bCs/>
          <w:sz w:val="24"/>
          <w:szCs w:val="24"/>
        </w:rPr>
        <w:t>Änderungen der Satzung</w:t>
      </w:r>
      <w:r w:rsidRPr="00333E77">
        <w:rPr>
          <w:rFonts w:ascii="Arial" w:hAnsi="Arial" w:cs="Arial"/>
          <w:sz w:val="24"/>
          <w:szCs w:val="24"/>
        </w:rPr>
        <w:t xml:space="preserve">, also nicht nur die eintragungspflichtigen Tatsachen wie Firmenänderung, Gegenstandsänderung, Sitzverlegung oder Kapitalveränderung (Erhöhung oder Herabsetzung). Veränderungen des Stammkapitals müssen durch alle Geschäftsführer angemeldet werden; dabei muss zugleich versichert werden, dass die übernommenen Einlagen - zumindest hinsichtlich ihrer Mindestquote (¼) - eingezahlt oder durch Sacheinlage erbracht worden sind. Falsche Versicherungen der Geschäftsführer im Zusammenhang mit der Aufbringung des Kapitals (sowohl bei Gründung als auch bei späterer Kapitalerhöhung) sind strafbar. </w:t>
      </w:r>
      <w:r w:rsidRPr="00333E77">
        <w:rPr>
          <w:rFonts w:ascii="Arial" w:hAnsi="Arial" w:cs="Arial"/>
          <w:iCs/>
          <w:sz w:val="24"/>
          <w:szCs w:val="24"/>
        </w:rPr>
        <w:t>Der Notar muss jeweils mit dem Protokoll mit dem Beschluss zur Satzungsänderung eine neue komplette Satzung mit aktuellem Wortlaut einreichen; dies geschieht als gebührenfreies Nebengeschäft.</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 xml:space="preserve">Die </w:t>
      </w:r>
      <w:r w:rsidRPr="00333E77">
        <w:rPr>
          <w:rFonts w:ascii="Arial" w:hAnsi="Arial" w:cs="Arial"/>
          <w:b/>
          <w:bCs/>
          <w:sz w:val="24"/>
          <w:szCs w:val="24"/>
        </w:rPr>
        <w:t>Bestellung oder Abberufung eines Geschäftsführers</w:t>
      </w:r>
      <w:r w:rsidRPr="00333E77">
        <w:rPr>
          <w:rFonts w:ascii="Arial" w:hAnsi="Arial" w:cs="Arial"/>
          <w:sz w:val="24"/>
          <w:szCs w:val="24"/>
        </w:rPr>
        <w:t xml:space="preserve"> (wie auch die Niederlegung des Amts durch den Geschäftsführer; hierzu erhalten Sie gern in gesondertem Merkblatt zusätzliche Informationen) werden - anders als die vorstehend behandelten Satzungsänderungen - schon wirksam durch den Beschluss der Gesellschafter; ein Dritter kann sich jedoch bis zur Eintragung in das Handelsregister auf den abweichenden Registerwortlaut berufen. (Beispiel: Ist der bisherige, bereits abberufene Geschäftsführer noch eingetragen und unterzeichnet er noch Verträge im Rahmen der Gesellschaft, sind diese gegenüber einem gutgläubigen Dritten wirksam, und es empfiehlt sich also, solche Änderungen sehr rasch zum Register anzumelden.) Die Anmeldung kann durch den neuen Geschäftsführer vorgenommen werden, der Gesellschafterbeschluss muss beigefügt werden.</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lastRenderedPageBreak/>
        <w:t xml:space="preserve">Die </w:t>
      </w:r>
      <w:r w:rsidRPr="00333E77">
        <w:rPr>
          <w:rFonts w:ascii="Arial" w:hAnsi="Arial" w:cs="Arial"/>
          <w:b/>
          <w:bCs/>
          <w:sz w:val="24"/>
          <w:szCs w:val="24"/>
        </w:rPr>
        <w:t>Abtretung von Gesellschaftsanteilen</w:t>
      </w:r>
      <w:r w:rsidRPr="00333E77">
        <w:rPr>
          <w:rFonts w:ascii="Arial" w:hAnsi="Arial" w:cs="Arial"/>
          <w:sz w:val="24"/>
          <w:szCs w:val="24"/>
        </w:rPr>
        <w:t xml:space="preserve"> bedarf der notariellen Beurkundung, wird aber (wie auch sonstige Gesellschafterwechsel, z. B. aufgrund Erbfolge) nicht im Handelsregister eingetragen. Allerdings muss nach Wirksamwerden der Abtretung eine neue Gesellschafterliste, unterzeichnet vom Geschäftsführer, zu den Registerakten eingereicht werden. Im Regelfall wird dies vom Notariat miterledigt.</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360" w:lineRule="exact"/>
        <w:rPr>
          <w:rFonts w:ascii="Arial" w:hAnsi="Arial" w:cs="Arial"/>
          <w:sz w:val="24"/>
          <w:szCs w:val="24"/>
        </w:rPr>
      </w:pPr>
      <w:r w:rsidRPr="00333E77">
        <w:rPr>
          <w:rFonts w:ascii="Arial" w:hAnsi="Arial" w:cs="Arial"/>
          <w:sz w:val="24"/>
          <w:szCs w:val="24"/>
        </w:rPr>
        <w:t>Bei der beherrschten Gesellschaft - regelmäßig handelt es sich um GmbHs - sind ferner sogenannte „</w:t>
      </w:r>
      <w:r w:rsidRPr="00333E77">
        <w:rPr>
          <w:rFonts w:ascii="Arial" w:hAnsi="Arial" w:cs="Arial"/>
          <w:b/>
          <w:bCs/>
          <w:sz w:val="24"/>
          <w:szCs w:val="24"/>
        </w:rPr>
        <w:t>Organverträge</w:t>
      </w:r>
      <w:r w:rsidRPr="00333E77">
        <w:rPr>
          <w:rFonts w:ascii="Arial" w:hAnsi="Arial" w:cs="Arial"/>
          <w:sz w:val="24"/>
          <w:szCs w:val="24"/>
        </w:rPr>
        <w:t>“ (Beherrschungs- und/oder Gewinnabführungsverträge) anzumelden, nachdem sowohl die Gesellschafterversammlung der beherrschten Gesellschaft (mit ¾-Mehrheit) als auch die Gesellschafterversammlung der beherrschenden Gesellschaft zugestimmt haben. Die Eintragung in das Handelsregister der beherrschten Gesellschaft spätestens ein Jahr nach Wirksamwerden des Organvertrags ist auch steuerliche Wirksamkeitsvoraussetzung. Der Rechtsverkehr hat großes Interesse an solchen Eintragungen, weil sich aus einer solchen Eingliederung und Gewinnabführung zugleich die Verpflichtung für die Obergesellschaft ergibt, etwa entstehende Verluste der beherrschten Gesellschaft zu übernehmen („Konzernhaftung“). Steuerlich bieten solche Organschaften, die sowohl für Zwecke der Körperschaftssteuer, der Umsatzsteuer und der Gewerbesteuer geschaffen werden können, den Vorteil, dass eine Verrechnung von Gewinnen der einen mit Betriebsausgaben der anderen Gesellschaft</w:t>
      </w:r>
      <w:r w:rsidR="00A92C56">
        <w:rPr>
          <w:rFonts w:ascii="Arial" w:hAnsi="Arial" w:cs="Arial"/>
          <w:sz w:val="24"/>
          <w:szCs w:val="24"/>
        </w:rPr>
        <w:t xml:space="preserve"> </w:t>
      </w:r>
      <w:bookmarkStart w:id="0" w:name="_GoBack"/>
      <w:bookmarkEnd w:id="0"/>
      <w:r w:rsidRPr="00333E77">
        <w:rPr>
          <w:rFonts w:ascii="Arial" w:hAnsi="Arial" w:cs="Arial"/>
          <w:sz w:val="24"/>
          <w:szCs w:val="24"/>
        </w:rPr>
        <w:t>möglich wird.</w:t>
      </w:r>
    </w:p>
    <w:p w:rsidR="00333E77" w:rsidRPr="00333E77" w:rsidRDefault="00333E77" w:rsidP="00333E77">
      <w:pPr>
        <w:spacing w:line="360" w:lineRule="exact"/>
        <w:rPr>
          <w:rFonts w:ascii="Arial" w:hAnsi="Arial" w:cs="Arial"/>
          <w:sz w:val="24"/>
          <w:szCs w:val="24"/>
        </w:rPr>
      </w:pPr>
    </w:p>
    <w:p w:rsidR="00333E77" w:rsidRPr="00333E77" w:rsidRDefault="00333E77" w:rsidP="00333E77">
      <w:pPr>
        <w:spacing w:line="240" w:lineRule="auto"/>
        <w:jc w:val="left"/>
        <w:rPr>
          <w:rFonts w:ascii="Arial" w:hAnsi="Arial" w:cs="Arial"/>
          <w:sz w:val="24"/>
          <w:szCs w:val="24"/>
        </w:rPr>
      </w:pPr>
    </w:p>
    <w:p w:rsidR="00DC6597" w:rsidRPr="00A004AF" w:rsidRDefault="00DC6597" w:rsidP="00A004AF">
      <w:pPr>
        <w:pStyle w:val="Betreff"/>
        <w:spacing w:line="240" w:lineRule="exact"/>
        <w:jc w:val="center"/>
        <w:rPr>
          <w:rFonts w:cs="Arial"/>
        </w:rPr>
      </w:pPr>
    </w:p>
    <w:sectPr w:rsidR="00DC6597" w:rsidRPr="00A004AF" w:rsidSect="00B138BB">
      <w:headerReference w:type="even" r:id="rId7"/>
      <w:headerReference w:type="default" r:id="rId8"/>
      <w:footerReference w:type="even" r:id="rId9"/>
      <w:footerReference w:type="default" r:id="rId10"/>
      <w:headerReference w:type="first" r:id="rId11"/>
      <w:footerReference w:type="first" r:id="rId12"/>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2C65E6" w:rsidRPr="002C65E6">
      <w:rPr>
        <w:rStyle w:val="Seitenzahl"/>
        <w:rFonts w:cs="Arial"/>
      </w:rPr>
      <w:fldChar w:fldCharType="begin"/>
    </w:r>
    <w:r w:rsidR="002C65E6" w:rsidRPr="002C65E6">
      <w:rPr>
        <w:rStyle w:val="Seitenzahl"/>
        <w:rFonts w:cs="Arial"/>
      </w:rPr>
      <w:instrText xml:space="preserve"> PAGE </w:instrText>
    </w:r>
    <w:r w:rsidR="002C65E6" w:rsidRPr="002C65E6">
      <w:rPr>
        <w:rStyle w:val="Seitenzahl"/>
        <w:rFonts w:cs="Arial"/>
      </w:rPr>
      <w:fldChar w:fldCharType="separate"/>
    </w:r>
    <w:r w:rsidR="00A92C56">
      <w:rPr>
        <w:rStyle w:val="Seitenzahl"/>
        <w:rFonts w:cs="Arial"/>
        <w:noProof/>
      </w:rPr>
      <w:t>4</w:t>
    </w:r>
    <w:r w:rsidR="002C65E6"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333E77"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333E77">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5"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9"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4"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6"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7"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8"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5"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7"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0"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1"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2"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3"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7"/>
    <w:lvlOverride w:ilvl="0">
      <w:startOverride w:val="3"/>
    </w:lvlOverride>
  </w:num>
  <w:num w:numId="5">
    <w:abstractNumId w:val="24"/>
    <w:lvlOverride w:ilvl="0">
      <w:startOverride w:val="1"/>
    </w:lvlOverride>
  </w:num>
  <w:num w:numId="6">
    <w:abstractNumId w:val="6"/>
    <w:lvlOverride w:ilvl="0">
      <w:startOverride w:val="2"/>
    </w:lvlOverride>
  </w:num>
  <w:num w:numId="7">
    <w:abstractNumId w:val="32"/>
    <w:lvlOverride w:ilvl="0">
      <w:startOverride w:val="1"/>
    </w:lvlOverride>
  </w:num>
  <w:num w:numId="8">
    <w:abstractNumId w:val="12"/>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9"/>
    <w:lvlOverride w:ilvl="0">
      <w:startOverride w:val="3"/>
    </w:lvlOverride>
  </w:num>
  <w:num w:numId="11">
    <w:abstractNumId w:val="28"/>
    <w:lvlOverride w:ilvl="0">
      <w:startOverride w:val="4"/>
    </w:lvlOverride>
  </w:num>
  <w:num w:numId="12">
    <w:abstractNumId w:val="31"/>
    <w:lvlOverride w:ilvl="0">
      <w:startOverride w:val="5"/>
    </w:lvlOverride>
  </w:num>
  <w:num w:numId="13">
    <w:abstractNumId w:val="5"/>
    <w:lvlOverride w:ilvl="0">
      <w:startOverride w:val="6"/>
    </w:lvlOverride>
  </w:num>
  <w:num w:numId="14">
    <w:abstractNumId w:val="26"/>
    <w:lvlOverride w:ilvl="0">
      <w:startOverride w:val="7"/>
    </w:lvlOverride>
  </w:num>
  <w:num w:numId="15">
    <w:abstractNumId w:val="15"/>
    <w:lvlOverride w:ilvl="0">
      <w:startOverride w:val="3"/>
    </w:lvlOverride>
  </w:num>
  <w:num w:numId="16">
    <w:abstractNumId w:val="30"/>
    <w:lvlOverride w:ilvl="0">
      <w:startOverride w:val="1"/>
    </w:lvlOverride>
  </w:num>
  <w:num w:numId="17">
    <w:abstractNumId w:val="13"/>
    <w:lvlOverride w:ilvl="0">
      <w:startOverride w:val="2"/>
    </w:lvlOverride>
  </w:num>
  <w:num w:numId="18">
    <w:abstractNumId w:val="25"/>
    <w:lvlOverride w:ilvl="0">
      <w:startOverride w:val="3"/>
    </w:lvlOverride>
  </w:num>
  <w:num w:numId="19">
    <w:abstractNumId w:val="20"/>
    <w:lvlOverride w:ilvl="0">
      <w:startOverride w:val="1"/>
    </w:lvlOverride>
  </w:num>
  <w:num w:numId="20">
    <w:abstractNumId w:val="4"/>
    <w:lvlOverride w:ilvl="0">
      <w:startOverride w:val="2"/>
    </w:lvlOverride>
  </w:num>
  <w:num w:numId="21">
    <w:abstractNumId w:val="16"/>
    <w:lvlOverride w:ilvl="0">
      <w:startOverride w:val="3"/>
    </w:lvlOverride>
  </w:num>
  <w:num w:numId="22">
    <w:abstractNumId w:val="1"/>
    <w:lvlOverride w:ilvl="0">
      <w:startOverride w:val="4"/>
    </w:lvlOverride>
  </w:num>
  <w:num w:numId="23">
    <w:abstractNumId w:val="33"/>
    <w:lvlOverride w:ilvl="0">
      <w:startOverride w:val="1"/>
    </w:lvlOverride>
  </w:num>
  <w:num w:numId="24">
    <w:abstractNumId w:val="22"/>
    <w:lvlOverride w:ilvl="0">
      <w:startOverride w:val="2"/>
    </w:lvlOverride>
  </w:num>
  <w:num w:numId="25">
    <w:abstractNumId w:val="8"/>
    <w:lvlOverride w:ilvl="0">
      <w:startOverride w:val="3"/>
    </w:lvlOverride>
  </w:num>
  <w:num w:numId="26">
    <w:abstractNumId w:val="3"/>
    <w:lvlOverride w:ilvl="0">
      <w:startOverride w:val="4"/>
    </w:lvlOverride>
  </w:num>
  <w:num w:numId="27">
    <w:abstractNumId w:val="19"/>
    <w:lvlOverride w:ilvl="0">
      <w:startOverride w:val="5"/>
    </w:lvlOverride>
  </w:num>
  <w:num w:numId="28">
    <w:abstractNumId w:val="18"/>
    <w:lvlOverride w:ilvl="0">
      <w:startOverride w:val="6"/>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A69E96-91BB-4DF4-8802-C0648B4CCF97}"/>
    <w:docVar w:name="dgnword-eventsink" w:val="779014152"/>
  </w:docVars>
  <w:rsids>
    <w:rsidRoot w:val="00B138BB"/>
    <w:rsid w:val="00060AD8"/>
    <w:rsid w:val="000648E0"/>
    <w:rsid w:val="0014672A"/>
    <w:rsid w:val="00146D68"/>
    <w:rsid w:val="0015723A"/>
    <w:rsid w:val="00175220"/>
    <w:rsid w:val="001B4F58"/>
    <w:rsid w:val="001F45D7"/>
    <w:rsid w:val="00215F37"/>
    <w:rsid w:val="002A17D3"/>
    <w:rsid w:val="002C65E6"/>
    <w:rsid w:val="00301488"/>
    <w:rsid w:val="00325CE2"/>
    <w:rsid w:val="00325EE2"/>
    <w:rsid w:val="00333E77"/>
    <w:rsid w:val="00366F06"/>
    <w:rsid w:val="00395EAB"/>
    <w:rsid w:val="00396BAD"/>
    <w:rsid w:val="003C63C6"/>
    <w:rsid w:val="003D0768"/>
    <w:rsid w:val="003E65CE"/>
    <w:rsid w:val="003F2200"/>
    <w:rsid w:val="00403C28"/>
    <w:rsid w:val="004259D5"/>
    <w:rsid w:val="004D6E8B"/>
    <w:rsid w:val="004E5342"/>
    <w:rsid w:val="00511DD7"/>
    <w:rsid w:val="00516E3D"/>
    <w:rsid w:val="005224D2"/>
    <w:rsid w:val="00525474"/>
    <w:rsid w:val="0054618D"/>
    <w:rsid w:val="00595301"/>
    <w:rsid w:val="00596B39"/>
    <w:rsid w:val="005B08DB"/>
    <w:rsid w:val="005C25F0"/>
    <w:rsid w:val="0060606D"/>
    <w:rsid w:val="00611EE8"/>
    <w:rsid w:val="00643EEF"/>
    <w:rsid w:val="00646CEC"/>
    <w:rsid w:val="00690682"/>
    <w:rsid w:val="006E1196"/>
    <w:rsid w:val="006E17E0"/>
    <w:rsid w:val="006E201B"/>
    <w:rsid w:val="006E46F1"/>
    <w:rsid w:val="006F5404"/>
    <w:rsid w:val="00720BBF"/>
    <w:rsid w:val="00726153"/>
    <w:rsid w:val="007B0D49"/>
    <w:rsid w:val="007D6416"/>
    <w:rsid w:val="00892607"/>
    <w:rsid w:val="0092499E"/>
    <w:rsid w:val="00960654"/>
    <w:rsid w:val="00962C76"/>
    <w:rsid w:val="00997160"/>
    <w:rsid w:val="009B560D"/>
    <w:rsid w:val="009D6CC9"/>
    <w:rsid w:val="00A004AF"/>
    <w:rsid w:val="00A23280"/>
    <w:rsid w:val="00A23988"/>
    <w:rsid w:val="00A76EF5"/>
    <w:rsid w:val="00A8124A"/>
    <w:rsid w:val="00A92C56"/>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F05ABF-269F-43D0-9578-B6F23AC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link w:val="berschrift2Zchn"/>
    <w:qFormat/>
    <w:pPr>
      <w:spacing w:before="120"/>
      <w:outlineLvl w:val="1"/>
    </w:pPr>
    <w:rPr>
      <w:b/>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pPr>
      <w:tabs>
        <w:tab w:val="right" w:pos="6804"/>
        <w:tab w:val="right" w:pos="9072"/>
      </w:tabs>
      <w:spacing w:line="240" w:lineRule="atLeast"/>
    </w:pPr>
    <w:rPr>
      <w:rFonts w:ascii="Arial" w:hAnsi="Arial"/>
      <w:sz w:val="22"/>
    </w:rPr>
  </w:style>
  <w:style w:type="paragraph" w:customStyle="1" w:styleId="Adresse">
    <w:name w:val="Adresse"/>
    <w:uiPriority w:val="99"/>
    <w:pPr>
      <w:tabs>
        <w:tab w:val="right" w:pos="6804"/>
        <w:tab w:val="right" w:pos="9072"/>
      </w:tabs>
      <w:spacing w:line="240" w:lineRule="atLeast"/>
    </w:pPr>
    <w:rPr>
      <w:rFonts w:ascii="Arial" w:hAnsi="Arial"/>
      <w:sz w:val="22"/>
    </w:rPr>
  </w:style>
  <w:style w:type="paragraph" w:customStyle="1" w:styleId="FordAufstellung">
    <w:name w:val="FordAufstellung"/>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Pr>
      <w:position w:val="6"/>
      <w:sz w:val="16"/>
    </w:rPr>
  </w:style>
  <w:style w:type="paragraph" w:styleId="Fuzeile">
    <w:name w:val="footer"/>
    <w:basedOn w:val="Standard"/>
    <w:semiHidden/>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pPr>
      <w:tabs>
        <w:tab w:val="center" w:pos="4819"/>
        <w:tab w:val="right" w:pos="9071"/>
      </w:tabs>
      <w:spacing w:line="240" w:lineRule="atLeast"/>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pPr>
      <w:ind w:left="708"/>
    </w:pPr>
  </w:style>
  <w:style w:type="character" w:styleId="Seitenzahl">
    <w:name w:val="page number"/>
    <w:basedOn w:val="Absatz-Standardschriftart"/>
    <w:semiHidden/>
  </w:style>
  <w:style w:type="paragraph" w:styleId="Anrede">
    <w:name w:val="Salutation"/>
    <w:basedOn w:val="Standard"/>
    <w:semiHidden/>
    <w:rsid w:val="00A8124A"/>
  </w:style>
  <w:style w:type="paragraph" w:customStyle="1" w:styleId="Betreff">
    <w:name w:val="Betreff"/>
    <w:uiPriority w:val="99"/>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semiHidden/>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rPr>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4</Pages>
  <Words>884</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7120</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3</cp:revision>
  <cp:lastPrinted>2018-12-13T15:30:00Z</cp:lastPrinted>
  <dcterms:created xsi:type="dcterms:W3CDTF">2019-03-06T13:48:00Z</dcterms:created>
  <dcterms:modified xsi:type="dcterms:W3CDTF">2019-03-06T14:24:00Z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